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3D" w:rsidRPr="007C2257" w:rsidRDefault="007C2257" w:rsidP="007C2257">
      <w:pPr>
        <w:spacing w:line="276" w:lineRule="auto"/>
        <w:ind w:left="-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</w:t>
      </w:r>
      <w:r w:rsidR="00002C3D" w:rsidRPr="007C2257">
        <w:rPr>
          <w:rFonts w:ascii="Times New Roman" w:hAnsi="Times New Roman" w:cs="Times New Roman"/>
          <w:sz w:val="22"/>
          <w:szCs w:val="22"/>
        </w:rPr>
        <w:t xml:space="preserve">НАБОР РЕАГЕНТОВ ДЛЯ ВЫЯВЛЕНИЯ И ДИФФЕРЕНЦИАЦИИ </w:t>
      </w:r>
    </w:p>
    <w:p w:rsidR="005A7537" w:rsidRPr="007C2257" w:rsidRDefault="00002C3D" w:rsidP="007C2257">
      <w:pPr>
        <w:jc w:val="both"/>
        <w:rPr>
          <w:rFonts w:hint="eastAsia"/>
          <w:sz w:val="22"/>
          <w:szCs w:val="22"/>
        </w:rPr>
      </w:pPr>
      <w:r w:rsidRPr="007C2257">
        <w:rPr>
          <w:rFonts w:ascii="Times New Roman" w:hAnsi="Times New Roman" w:cs="Times New Roman"/>
          <w:sz w:val="22"/>
          <w:szCs w:val="22"/>
        </w:rPr>
        <w:t>БУРКХОЛЬДЕРИЙ ГРУППЫ «</w:t>
      </w:r>
      <w:r w:rsidRPr="007C2257">
        <w:rPr>
          <w:rFonts w:ascii="Times New Roman" w:hAnsi="Times New Roman" w:cs="Times New Roman"/>
          <w:i/>
          <w:sz w:val="22"/>
          <w:szCs w:val="22"/>
          <w:lang w:val="en-US"/>
        </w:rPr>
        <w:t>PSEUDOMALLEI</w:t>
      </w:r>
      <w:r w:rsidRPr="007C2257">
        <w:rPr>
          <w:rFonts w:ascii="Times New Roman" w:hAnsi="Times New Roman" w:cs="Times New Roman"/>
          <w:sz w:val="22"/>
          <w:szCs w:val="22"/>
        </w:rPr>
        <w:t>» В ФОРМАТЕМУЛЬТИПЛЕКСНОЙ ПОЛИМЕРАЗНОЙ ЦЕПНОЙ РЕАКЦИИ С ЭЛЕКТРОФОРЕТИЧЕСКОЙ ДЕТЕКЦИЕЙ «АМПЛИГЕН БУРКХОЛЬДЕРИИ ГРУППЫ «</w:t>
      </w:r>
      <w:r w:rsidRPr="007C2257">
        <w:rPr>
          <w:rFonts w:ascii="Times New Roman" w:hAnsi="Times New Roman" w:cs="Times New Roman"/>
          <w:i/>
          <w:sz w:val="22"/>
          <w:szCs w:val="22"/>
          <w:lang w:val="en-US"/>
        </w:rPr>
        <w:t>PSEUDOMALLEI</w:t>
      </w:r>
      <w:r w:rsidRPr="007C2257">
        <w:rPr>
          <w:rFonts w:ascii="Times New Roman" w:hAnsi="Times New Roman" w:cs="Times New Roman"/>
          <w:sz w:val="22"/>
          <w:szCs w:val="22"/>
        </w:rPr>
        <w:t>» Β</w:t>
      </w:r>
      <w:r w:rsidRPr="007C2257">
        <w:rPr>
          <w:rFonts w:ascii="Times New Roman" w:hAnsi="Times New Roman" w:cs="Times New Roman"/>
          <w:sz w:val="22"/>
          <w:szCs w:val="22"/>
          <w:lang w:val="en-US"/>
        </w:rPr>
        <w:t>L</w:t>
      </w:r>
      <w:r w:rsidRPr="007C2257">
        <w:rPr>
          <w:rFonts w:ascii="Times New Roman" w:hAnsi="Times New Roman" w:cs="Times New Roman"/>
          <w:sz w:val="22"/>
          <w:szCs w:val="22"/>
        </w:rPr>
        <w:t xml:space="preserve"> </w:t>
      </w:r>
      <w:r w:rsidRPr="007C2257">
        <w:rPr>
          <w:rFonts w:ascii="Times New Roman" w:hAnsi="Times New Roman" w:cs="Times New Roman"/>
          <w:sz w:val="22"/>
          <w:szCs w:val="22"/>
          <w:lang w:val="en-US"/>
        </w:rPr>
        <w:t>B</w:t>
      </w:r>
      <w:r w:rsidRPr="007C2257">
        <w:rPr>
          <w:rFonts w:ascii="Times New Roman" w:hAnsi="Times New Roman" w:cs="Times New Roman"/>
          <w:sz w:val="22"/>
          <w:szCs w:val="22"/>
        </w:rPr>
        <w:t>/</w:t>
      </w:r>
      <w:r w:rsidRPr="007C2257">
        <w:rPr>
          <w:rFonts w:ascii="Times New Roman" w:hAnsi="Times New Roman" w:cs="Times New Roman"/>
          <w:sz w:val="22"/>
          <w:szCs w:val="22"/>
          <w:lang w:val="en-US"/>
        </w:rPr>
        <w:t>D</w:t>
      </w:r>
      <w:r w:rsidRPr="007C2257">
        <w:rPr>
          <w:rFonts w:ascii="Times New Roman" w:hAnsi="Times New Roman" w:cs="Times New Roman"/>
          <w:sz w:val="22"/>
          <w:szCs w:val="22"/>
        </w:rPr>
        <w:t xml:space="preserve"> - </w:t>
      </w:r>
      <w:r w:rsidRPr="007C2257">
        <w:rPr>
          <w:rFonts w:ascii="Times New Roman" w:hAnsi="Times New Roman" w:cs="Times New Roman"/>
          <w:sz w:val="22"/>
          <w:szCs w:val="22"/>
          <w:lang w:val="en-US"/>
        </w:rPr>
        <w:t>EPH</w:t>
      </w:r>
      <w:r w:rsidRPr="007C2257">
        <w:rPr>
          <w:rFonts w:ascii="Times New Roman" w:hAnsi="Times New Roman" w:cs="Times New Roman"/>
          <w:sz w:val="22"/>
          <w:szCs w:val="22"/>
        </w:rPr>
        <w:t xml:space="preserve">» </w:t>
      </w:r>
      <w:r w:rsidRPr="007C2257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>ПО ТУ</w:t>
      </w:r>
      <w:r w:rsidRPr="007C2257">
        <w:rPr>
          <w:sz w:val="22"/>
          <w:szCs w:val="22"/>
        </w:rPr>
        <w:t xml:space="preserve"> 21.20.23-014-01898084-2016</w:t>
      </w:r>
    </w:p>
    <w:p w:rsidR="00002C3D" w:rsidRPr="007C2257" w:rsidRDefault="00002C3D" w:rsidP="00002C3D">
      <w:pPr>
        <w:rPr>
          <w:rFonts w:hint="eastAsia"/>
          <w:b/>
          <w:sz w:val="22"/>
          <w:szCs w:val="22"/>
        </w:rPr>
      </w:pPr>
    </w:p>
    <w:p w:rsidR="00002C3D" w:rsidRPr="007C2257" w:rsidRDefault="00002C3D" w:rsidP="00002C3D">
      <w:pPr>
        <w:rPr>
          <w:rFonts w:hint="eastAsia"/>
          <w:sz w:val="22"/>
          <w:szCs w:val="22"/>
        </w:rPr>
      </w:pPr>
      <w:r w:rsidRPr="007C2257">
        <w:rPr>
          <w:sz w:val="22"/>
          <w:szCs w:val="22"/>
        </w:rPr>
        <w:t xml:space="preserve">Регистрационное удостоверение </w:t>
      </w:r>
      <w:r w:rsidR="00A963C9">
        <w:rPr>
          <w:sz w:val="22"/>
          <w:szCs w:val="22"/>
        </w:rPr>
        <w:t>№ РЗН 2018/7785</w:t>
      </w:r>
      <w:bookmarkStart w:id="0" w:name="_GoBack"/>
      <w:bookmarkEnd w:id="0"/>
    </w:p>
    <w:p w:rsidR="00002C3D" w:rsidRPr="007C2257" w:rsidRDefault="00002C3D" w:rsidP="00002C3D">
      <w:pPr>
        <w:rPr>
          <w:rFonts w:hint="eastAsia"/>
          <w:sz w:val="22"/>
          <w:szCs w:val="22"/>
        </w:rPr>
      </w:pPr>
      <w:r w:rsidRPr="007C2257"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  <w:t>ТУ</w:t>
      </w:r>
      <w:r w:rsidRPr="007C2257">
        <w:rPr>
          <w:sz w:val="22"/>
          <w:szCs w:val="22"/>
        </w:rPr>
        <w:t xml:space="preserve"> 21.20.23-014-01898084-2016</w:t>
      </w:r>
    </w:p>
    <w:p w:rsidR="00002C3D" w:rsidRDefault="00002C3D" w:rsidP="00002C3D">
      <w:pPr>
        <w:rPr>
          <w:rFonts w:hint="eastAsia"/>
          <w:b/>
        </w:rPr>
      </w:pPr>
    </w:p>
    <w:p w:rsidR="00002C3D" w:rsidRDefault="00002C3D" w:rsidP="00002C3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5E535F">
        <w:rPr>
          <w:rFonts w:ascii="Times New Roman" w:hAnsi="Times New Roman" w:cs="Times New Roman"/>
        </w:rPr>
        <w:t xml:space="preserve">«Набор реагентов для выявления и дифференциации </w:t>
      </w:r>
      <w:proofErr w:type="spellStart"/>
      <w:r w:rsidRPr="005E535F">
        <w:rPr>
          <w:rFonts w:ascii="Times New Roman" w:hAnsi="Times New Roman" w:cs="Times New Roman"/>
        </w:rPr>
        <w:t>буркхольдерий</w:t>
      </w:r>
      <w:proofErr w:type="spellEnd"/>
      <w:r w:rsidRPr="005E535F">
        <w:rPr>
          <w:rFonts w:ascii="Times New Roman" w:hAnsi="Times New Roman" w:cs="Times New Roman"/>
        </w:rPr>
        <w:t xml:space="preserve"> группы «</w:t>
      </w:r>
      <w:proofErr w:type="spellStart"/>
      <w:r w:rsidRPr="005E535F">
        <w:rPr>
          <w:rFonts w:ascii="Times New Roman" w:hAnsi="Times New Roman" w:cs="Times New Roman"/>
          <w:i/>
          <w:lang w:val="en-US"/>
        </w:rPr>
        <w:t>pseudomallei</w:t>
      </w:r>
      <w:proofErr w:type="spellEnd"/>
      <w:r w:rsidRPr="005E535F">
        <w:rPr>
          <w:rFonts w:ascii="Times New Roman" w:hAnsi="Times New Roman" w:cs="Times New Roman"/>
        </w:rPr>
        <w:t xml:space="preserve">» в формате мультиплексной полимеразной цепной реакции с электрофоретической </w:t>
      </w:r>
      <w:proofErr w:type="spellStart"/>
      <w:r w:rsidRPr="005E535F">
        <w:rPr>
          <w:rFonts w:ascii="Times New Roman" w:hAnsi="Times New Roman" w:cs="Times New Roman"/>
        </w:rPr>
        <w:t>детекцией</w:t>
      </w:r>
      <w:proofErr w:type="spellEnd"/>
      <w:r w:rsidRPr="005E535F">
        <w:rPr>
          <w:rFonts w:ascii="Times New Roman" w:hAnsi="Times New Roman" w:cs="Times New Roman"/>
        </w:rPr>
        <w:t xml:space="preserve"> «</w:t>
      </w:r>
      <w:proofErr w:type="spellStart"/>
      <w:r w:rsidRPr="005E535F">
        <w:rPr>
          <w:rFonts w:ascii="Times New Roman" w:hAnsi="Times New Roman" w:cs="Times New Roman"/>
        </w:rPr>
        <w:t>Амплиген</w:t>
      </w:r>
      <w:proofErr w:type="spellEnd"/>
      <w:r w:rsidRPr="005E535F">
        <w:rPr>
          <w:rFonts w:ascii="Times New Roman" w:hAnsi="Times New Roman" w:cs="Times New Roman"/>
        </w:rPr>
        <w:t xml:space="preserve"> </w:t>
      </w:r>
      <w:proofErr w:type="spellStart"/>
      <w:r w:rsidRPr="005E535F">
        <w:rPr>
          <w:rFonts w:ascii="Times New Roman" w:hAnsi="Times New Roman" w:cs="Times New Roman"/>
        </w:rPr>
        <w:t>Буркхольдерии</w:t>
      </w:r>
      <w:proofErr w:type="spellEnd"/>
      <w:r w:rsidRPr="005E535F">
        <w:rPr>
          <w:rFonts w:ascii="Times New Roman" w:hAnsi="Times New Roman" w:cs="Times New Roman"/>
        </w:rPr>
        <w:t xml:space="preserve"> группы «</w:t>
      </w:r>
      <w:proofErr w:type="spellStart"/>
      <w:r w:rsidRPr="005E535F">
        <w:rPr>
          <w:rFonts w:ascii="Times New Roman" w:hAnsi="Times New Roman" w:cs="Times New Roman"/>
          <w:i/>
          <w:lang w:val="en-US"/>
        </w:rPr>
        <w:t>pseudomallei</w:t>
      </w:r>
      <w:proofErr w:type="spellEnd"/>
      <w:r w:rsidRPr="005E535F">
        <w:rPr>
          <w:rFonts w:ascii="Times New Roman" w:hAnsi="Times New Roman" w:cs="Times New Roman"/>
        </w:rPr>
        <w:t>» β</w:t>
      </w:r>
      <w:r w:rsidRPr="005E535F">
        <w:rPr>
          <w:rFonts w:ascii="Times New Roman" w:hAnsi="Times New Roman" w:cs="Times New Roman"/>
          <w:lang w:val="en-US"/>
        </w:rPr>
        <w:t>L</w:t>
      </w:r>
      <w:r w:rsidRPr="005E535F">
        <w:rPr>
          <w:rFonts w:ascii="Times New Roman" w:hAnsi="Times New Roman" w:cs="Times New Roman"/>
        </w:rPr>
        <w:t xml:space="preserve"> </w:t>
      </w:r>
      <w:r w:rsidRPr="005E535F">
        <w:rPr>
          <w:rFonts w:ascii="Times New Roman" w:hAnsi="Times New Roman" w:cs="Times New Roman"/>
          <w:lang w:val="en-US"/>
        </w:rPr>
        <w:t>B</w:t>
      </w:r>
      <w:r w:rsidRPr="005E535F">
        <w:rPr>
          <w:rFonts w:ascii="Times New Roman" w:hAnsi="Times New Roman" w:cs="Times New Roman"/>
        </w:rPr>
        <w:t>/</w:t>
      </w:r>
      <w:r w:rsidRPr="005E535F">
        <w:rPr>
          <w:rFonts w:ascii="Times New Roman" w:hAnsi="Times New Roman" w:cs="Times New Roman"/>
          <w:lang w:val="en-US"/>
        </w:rPr>
        <w:t>D</w:t>
      </w:r>
      <w:r w:rsidRPr="005E535F">
        <w:rPr>
          <w:rFonts w:ascii="Times New Roman" w:hAnsi="Times New Roman" w:cs="Times New Roman"/>
        </w:rPr>
        <w:t xml:space="preserve"> - </w:t>
      </w:r>
      <w:proofErr w:type="spellStart"/>
      <w:r w:rsidRPr="005E535F">
        <w:rPr>
          <w:rFonts w:ascii="Times New Roman" w:hAnsi="Times New Roman" w:cs="Times New Roman"/>
          <w:lang w:val="en-US"/>
        </w:rPr>
        <w:t>EPh</w:t>
      </w:r>
      <w:proofErr w:type="spellEnd"/>
      <w:r w:rsidRPr="005E535F">
        <w:rPr>
          <w:rFonts w:ascii="Times New Roman" w:hAnsi="Times New Roman" w:cs="Times New Roman"/>
        </w:rPr>
        <w:t>» по ТУ 21.20.23-014-01898084</w:t>
      </w:r>
      <w:r w:rsidR="007C2257">
        <w:rPr>
          <w:rFonts w:ascii="Times New Roman" w:hAnsi="Times New Roman" w:cs="Times New Roman"/>
        </w:rPr>
        <w:t>-2016»</w:t>
      </w:r>
      <w:r w:rsidRPr="005E535F">
        <w:rPr>
          <w:rFonts w:ascii="Times New Roman" w:hAnsi="Times New Roman" w:cs="Times New Roman"/>
        </w:rPr>
        <w:t xml:space="preserve"> </w:t>
      </w:r>
      <w:r w:rsidRPr="005E535F">
        <w:rPr>
          <w:rFonts w:ascii="Times New Roman" w:eastAsia="Times New Roman" w:hAnsi="Times New Roman" w:cs="Times New Roman"/>
          <w:iCs/>
          <w:kern w:val="0"/>
          <w:lang w:eastAsia="ar-SA" w:bidi="ar-SA"/>
        </w:rPr>
        <w:t xml:space="preserve">предназначен </w:t>
      </w:r>
      <w:r w:rsidRPr="005E535F">
        <w:rPr>
          <w:rFonts w:ascii="Times New Roman" w:eastAsia="Times New Roman" w:hAnsi="Times New Roman" w:cs="Times New Roman"/>
          <w:bCs/>
          <w:kern w:val="0"/>
          <w:lang w:eastAsia="ar-SA" w:bidi="ar-SA"/>
        </w:rPr>
        <w:t>для</w:t>
      </w:r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обнаружения ДНК</w:t>
      </w:r>
      <w:r w:rsidRPr="005E535F">
        <w:rPr>
          <w:rFonts w:ascii="Times New Roman" w:eastAsia="Times New Roman" w:hAnsi="Times New Roman" w:cs="Times New Roman"/>
          <w:i/>
          <w:kern w:val="0"/>
          <w:lang w:eastAsia="ar-SA" w:bidi="ar-SA"/>
        </w:rPr>
        <w:t xml:space="preserve"> </w:t>
      </w:r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и одновременной дифференциации 3-х видов </w:t>
      </w:r>
      <w:proofErr w:type="spellStart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буркхольдерий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группы «</w:t>
      </w:r>
      <w:proofErr w:type="spellStart"/>
      <w:r w:rsidRPr="005E535F">
        <w:rPr>
          <w:rFonts w:ascii="Times New Roman" w:eastAsia="Times New Roman" w:hAnsi="Times New Roman" w:cs="Times New Roman"/>
          <w:i/>
          <w:kern w:val="0"/>
          <w:lang w:val="en-US" w:eastAsia="ar-SA" w:bidi="ar-SA"/>
        </w:rPr>
        <w:t>pseudomallei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» - возбудителя </w:t>
      </w:r>
      <w:proofErr w:type="spellStart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мелиоидоза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(</w:t>
      </w:r>
      <w:r w:rsidRPr="005E535F">
        <w:rPr>
          <w:rFonts w:ascii="Times New Roman" w:eastAsia="Times New Roman" w:hAnsi="Times New Roman" w:cs="Times New Roman"/>
          <w:i/>
          <w:kern w:val="0"/>
          <w:lang w:eastAsia="ar-SA" w:bidi="ar-SA"/>
        </w:rPr>
        <w:t>B. </w:t>
      </w:r>
      <w:proofErr w:type="spellStart"/>
      <w:r w:rsidRPr="005E535F">
        <w:rPr>
          <w:rFonts w:ascii="Times New Roman" w:eastAsia="Times New Roman" w:hAnsi="Times New Roman" w:cs="Times New Roman"/>
          <w:i/>
          <w:kern w:val="0"/>
          <w:lang w:eastAsia="ar-SA" w:bidi="ar-SA"/>
        </w:rPr>
        <w:t>pseudomallei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), возбудителя сапа (</w:t>
      </w:r>
      <w:r w:rsidRPr="005E535F">
        <w:rPr>
          <w:rFonts w:ascii="Times New Roman" w:eastAsia="Times New Roman" w:hAnsi="Times New Roman" w:cs="Times New Roman"/>
          <w:i/>
          <w:kern w:val="0"/>
          <w:lang w:eastAsia="ar-SA" w:bidi="ar-SA"/>
        </w:rPr>
        <w:t>B. </w:t>
      </w:r>
      <w:proofErr w:type="spellStart"/>
      <w:r w:rsidRPr="005E535F">
        <w:rPr>
          <w:rFonts w:ascii="Times New Roman" w:eastAsia="Times New Roman" w:hAnsi="Times New Roman" w:cs="Times New Roman"/>
          <w:i/>
          <w:kern w:val="0"/>
          <w:lang w:eastAsia="ar-SA" w:bidi="ar-SA"/>
        </w:rPr>
        <w:t>mallei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) и </w:t>
      </w:r>
      <w:r w:rsidRPr="005E535F">
        <w:rPr>
          <w:rFonts w:ascii="Times New Roman" w:eastAsia="Times New Roman" w:hAnsi="Times New Roman" w:cs="Times New Roman"/>
          <w:i/>
          <w:kern w:val="0"/>
          <w:lang w:val="en-US" w:eastAsia="ar-SA" w:bidi="ar-SA"/>
        </w:rPr>
        <w:t>B</w:t>
      </w:r>
      <w:r w:rsidRPr="005E535F">
        <w:rPr>
          <w:rFonts w:ascii="Times New Roman" w:eastAsia="Times New Roman" w:hAnsi="Times New Roman" w:cs="Times New Roman"/>
          <w:i/>
          <w:kern w:val="0"/>
          <w:lang w:eastAsia="ar-SA" w:bidi="ar-SA"/>
        </w:rPr>
        <w:t>. </w:t>
      </w:r>
      <w:proofErr w:type="spellStart"/>
      <w:r w:rsidRPr="005E535F">
        <w:rPr>
          <w:rFonts w:ascii="Times New Roman" w:eastAsia="Times New Roman" w:hAnsi="Times New Roman" w:cs="Times New Roman"/>
          <w:i/>
          <w:kern w:val="0"/>
          <w:lang w:val="en-US" w:eastAsia="ar-SA" w:bidi="ar-SA"/>
        </w:rPr>
        <w:t>thailandensis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по набору генов </w:t>
      </w:r>
      <w:r w:rsidRPr="005E535F">
        <w:rPr>
          <w:rFonts w:ascii="Times New Roman" w:eastAsia="Times New Roman" w:hAnsi="Times New Roman" w:cs="Times New Roman"/>
          <w:kern w:val="0"/>
          <w:lang w:val="en-US" w:eastAsia="ar-SA" w:bidi="ar-SA"/>
        </w:rPr>
        <w:t>β</w:t>
      </w:r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-</w:t>
      </w:r>
      <w:proofErr w:type="spellStart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лактамаз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молекулярных классов </w:t>
      </w:r>
      <w:r w:rsidRPr="005E535F">
        <w:rPr>
          <w:rFonts w:ascii="Times New Roman" w:eastAsia="Times New Roman" w:hAnsi="Times New Roman" w:cs="Times New Roman"/>
          <w:kern w:val="0"/>
          <w:lang w:val="en-US" w:eastAsia="ar-SA" w:bidi="ar-SA"/>
        </w:rPr>
        <w:t>B</w:t>
      </w:r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и </w:t>
      </w:r>
      <w:r w:rsidRPr="005E535F">
        <w:rPr>
          <w:rFonts w:ascii="Times New Roman" w:eastAsia="Times New Roman" w:hAnsi="Times New Roman" w:cs="Times New Roman"/>
          <w:kern w:val="0"/>
          <w:lang w:val="en-US" w:eastAsia="ar-SA" w:bidi="ar-SA"/>
        </w:rPr>
        <w:t>D</w:t>
      </w:r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в пробах выделенных культур микроорганизмов, клинического материала (кровь, моча, мокрота, спинномозговая жидкость, отделяемое язв, </w:t>
      </w:r>
      <w:proofErr w:type="spellStart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пунктаты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из лимфатических узлов, экссудаты, абсцессы, рвотные массы, испражнения), секционного материала (</w:t>
      </w:r>
      <w:proofErr w:type="spellStart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биоптаты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печени, селезенки, легкого, сердца, почки, головной мозг) методом мультиплексной полимеразной цепной реакции с электрофоретическим способом </w:t>
      </w:r>
      <w:proofErr w:type="spellStart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детекции</w:t>
      </w:r>
      <w:proofErr w:type="spellEnd"/>
      <w:r w:rsidRPr="005E535F">
        <w:rPr>
          <w:rFonts w:ascii="Times New Roman" w:eastAsia="Times New Roman" w:hAnsi="Times New Roman" w:cs="Times New Roman"/>
          <w:kern w:val="0"/>
          <w:lang w:eastAsia="ar-SA" w:bidi="ar-SA"/>
        </w:rPr>
        <w:t>.</w:t>
      </w:r>
    </w:p>
    <w:p w:rsidR="00002C3D" w:rsidRPr="00002C3D" w:rsidRDefault="00002C3D" w:rsidP="00002C3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>
        <w:rPr>
          <w:rFonts w:ascii="Times New Roman" w:eastAsia="Times New Roman" w:hAnsi="Times New Roman" w:cs="Times New Roman"/>
          <w:kern w:val="0"/>
          <w:lang w:eastAsia="ar-SA" w:bidi="ar-SA"/>
        </w:rPr>
        <w:t>В комплект поста</w:t>
      </w:r>
      <w:r w:rsidR="007C2257">
        <w:rPr>
          <w:rFonts w:ascii="Times New Roman" w:eastAsia="Times New Roman" w:hAnsi="Times New Roman" w:cs="Times New Roman"/>
          <w:kern w:val="0"/>
          <w:lang w:eastAsia="ar-SA" w:bidi="ar-SA"/>
        </w:rPr>
        <w:t>в</w:t>
      </w:r>
      <w:r>
        <w:rPr>
          <w:rFonts w:ascii="Times New Roman" w:eastAsia="Times New Roman" w:hAnsi="Times New Roman" w:cs="Times New Roman"/>
          <w:kern w:val="0"/>
          <w:lang w:eastAsia="ar-SA" w:bidi="ar-SA"/>
        </w:rPr>
        <w:t>ки входит:</w:t>
      </w:r>
    </w:p>
    <w:p w:rsidR="00002C3D" w:rsidRPr="0025386B" w:rsidRDefault="00002C3D" w:rsidP="00002C3D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86B">
        <w:rPr>
          <w:rFonts w:ascii="Times New Roman" w:hAnsi="Times New Roman" w:cs="Times New Roman"/>
          <w:bCs/>
          <w:sz w:val="24"/>
          <w:szCs w:val="24"/>
        </w:rPr>
        <w:t xml:space="preserve">ПЦР - смесь № 1 </w:t>
      </w:r>
      <w:r w:rsidRPr="0025386B">
        <w:rPr>
          <w:rFonts w:ascii="Times New Roman" w:hAnsi="Times New Roman" w:cs="Times New Roman"/>
          <w:sz w:val="24"/>
          <w:szCs w:val="24"/>
        </w:rPr>
        <w:t xml:space="preserve">– 1 пробирка по 0,5 мл; </w:t>
      </w:r>
    </w:p>
    <w:p w:rsidR="00002C3D" w:rsidRPr="0025386B" w:rsidRDefault="00002C3D" w:rsidP="00002C3D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86B">
        <w:rPr>
          <w:rFonts w:ascii="Times New Roman" w:hAnsi="Times New Roman" w:cs="Times New Roman"/>
          <w:bCs/>
          <w:sz w:val="24"/>
          <w:szCs w:val="24"/>
        </w:rPr>
        <w:t xml:space="preserve">ПЦР - смесь № 2 </w:t>
      </w:r>
      <w:r w:rsidRPr="0025386B">
        <w:rPr>
          <w:rFonts w:ascii="Times New Roman" w:hAnsi="Times New Roman" w:cs="Times New Roman"/>
          <w:sz w:val="24"/>
          <w:szCs w:val="24"/>
        </w:rPr>
        <w:t>– 1 пробирка по 0,1 мл;</w:t>
      </w:r>
    </w:p>
    <w:p w:rsidR="00002C3D" w:rsidRPr="0025386B" w:rsidRDefault="00002C3D" w:rsidP="00002C3D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386B">
        <w:rPr>
          <w:rFonts w:ascii="Times New Roman" w:hAnsi="Times New Roman" w:cs="Times New Roman"/>
          <w:i/>
          <w:color w:val="000000"/>
          <w:sz w:val="24"/>
          <w:szCs w:val="24"/>
        </w:rPr>
        <w:t>Taq</w:t>
      </w:r>
      <w:proofErr w:type="spellEnd"/>
      <w:r w:rsidRPr="0025386B">
        <w:rPr>
          <w:rFonts w:ascii="Times New Roman" w:hAnsi="Times New Roman" w:cs="Times New Roman"/>
          <w:color w:val="000000"/>
          <w:sz w:val="24"/>
          <w:szCs w:val="24"/>
        </w:rPr>
        <w:t>-ДНК-полимераза</w:t>
      </w:r>
      <w:r w:rsidRPr="0025386B">
        <w:rPr>
          <w:rFonts w:ascii="Times New Roman" w:hAnsi="Times New Roman" w:cs="Times New Roman"/>
          <w:sz w:val="24"/>
          <w:szCs w:val="24"/>
        </w:rPr>
        <w:t xml:space="preserve"> - 1 пробирка по 0,02 мл;</w:t>
      </w:r>
    </w:p>
    <w:p w:rsidR="00002C3D" w:rsidRPr="0025386B" w:rsidRDefault="00002C3D" w:rsidP="00002C3D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86B">
        <w:rPr>
          <w:rFonts w:ascii="Times New Roman" w:hAnsi="Times New Roman" w:cs="Times New Roman"/>
          <w:snapToGrid w:val="0"/>
          <w:sz w:val="24"/>
          <w:szCs w:val="24"/>
        </w:rPr>
        <w:t>ПКО (положительный контрольный образец</w:t>
      </w:r>
      <w:r w:rsidRPr="0025386B">
        <w:rPr>
          <w:rFonts w:ascii="Times New Roman" w:hAnsi="Times New Roman" w:cs="Times New Roman"/>
          <w:iCs/>
          <w:sz w:val="24"/>
          <w:szCs w:val="24"/>
        </w:rPr>
        <w:t>)</w:t>
      </w:r>
      <w:r w:rsidRPr="002538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5386B">
        <w:rPr>
          <w:rFonts w:ascii="Times New Roman" w:hAnsi="Times New Roman" w:cs="Times New Roman"/>
          <w:sz w:val="24"/>
          <w:szCs w:val="24"/>
        </w:rPr>
        <w:t xml:space="preserve">– 1 пробирка по 0,4 мл; </w:t>
      </w:r>
    </w:p>
    <w:p w:rsidR="00002C3D" w:rsidRPr="0025386B" w:rsidRDefault="00002C3D" w:rsidP="00002C3D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86B">
        <w:rPr>
          <w:rFonts w:ascii="Times New Roman" w:hAnsi="Times New Roman" w:cs="Times New Roman"/>
          <w:sz w:val="24"/>
          <w:szCs w:val="24"/>
        </w:rPr>
        <w:t>ОКО (отрицательный контрольный образец) – 1 пробирка по 0,4 мл;</w:t>
      </w:r>
    </w:p>
    <w:p w:rsidR="00002C3D" w:rsidRPr="0025386B" w:rsidRDefault="00002C3D" w:rsidP="00002C3D">
      <w:pPr>
        <w:pStyle w:val="ConsPlusNormal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86B">
        <w:rPr>
          <w:rFonts w:ascii="Times New Roman" w:hAnsi="Times New Roman" w:cs="Times New Roman"/>
          <w:sz w:val="24"/>
          <w:szCs w:val="24"/>
        </w:rPr>
        <w:t xml:space="preserve">вода </w:t>
      </w:r>
      <w:proofErr w:type="spellStart"/>
      <w:r w:rsidRPr="0025386B">
        <w:rPr>
          <w:rFonts w:ascii="Times New Roman" w:hAnsi="Times New Roman" w:cs="Times New Roman"/>
          <w:sz w:val="24"/>
          <w:szCs w:val="24"/>
        </w:rPr>
        <w:t>деионизованная</w:t>
      </w:r>
      <w:proofErr w:type="spellEnd"/>
      <w:r w:rsidRPr="0025386B">
        <w:rPr>
          <w:rFonts w:ascii="Times New Roman" w:hAnsi="Times New Roman" w:cs="Times New Roman"/>
          <w:sz w:val="24"/>
          <w:szCs w:val="24"/>
        </w:rPr>
        <w:t xml:space="preserve"> – 1 пробирка по 0,4 мл;</w:t>
      </w:r>
      <w:r w:rsidRPr="0025386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02C3D" w:rsidRDefault="00002C3D" w:rsidP="00002C3D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86B">
        <w:rPr>
          <w:rFonts w:ascii="Times New Roman" w:hAnsi="Times New Roman" w:cs="Times New Roman"/>
          <w:bCs/>
          <w:sz w:val="24"/>
          <w:szCs w:val="24"/>
        </w:rPr>
        <w:t>минеральное масло</w:t>
      </w:r>
      <w:r w:rsidRPr="0025386B">
        <w:rPr>
          <w:rFonts w:ascii="Times New Roman" w:hAnsi="Times New Roman" w:cs="Times New Roman"/>
          <w:sz w:val="24"/>
          <w:szCs w:val="24"/>
        </w:rPr>
        <w:t xml:space="preserve"> - 2 пробирки по 1,0 мл.</w:t>
      </w:r>
    </w:p>
    <w:p w:rsidR="00002C3D" w:rsidRDefault="007C2257" w:rsidP="00002C3D">
      <w:pPr>
        <w:spacing w:line="276" w:lineRule="auto"/>
        <w:ind w:firstLine="709"/>
        <w:jc w:val="both"/>
        <w:rPr>
          <w:rFonts w:cs="Liberation Serif" w:hint="eastAsia"/>
        </w:rPr>
      </w:pPr>
      <w:r>
        <w:rPr>
          <w:rFonts w:ascii="Times New Roman" w:hAnsi="Times New Roman" w:cs="Times New Roman"/>
        </w:rPr>
        <w:t xml:space="preserve">Комплект </w:t>
      </w:r>
      <w:r w:rsidR="00002C3D" w:rsidRPr="00F260C6">
        <w:rPr>
          <w:rFonts w:ascii="Times New Roman" w:hAnsi="Times New Roman" w:cs="Times New Roman"/>
        </w:rPr>
        <w:t>рассчитан на проведение 50 определений, включая положительные и отрицательные контроли.</w:t>
      </w:r>
      <w:r w:rsidR="00002C3D">
        <w:rPr>
          <w:rFonts w:ascii="Times New Roman" w:hAnsi="Times New Roman" w:cs="Times New Roman"/>
        </w:rPr>
        <w:t xml:space="preserve"> Срок годности - </w:t>
      </w:r>
      <w:r w:rsidR="00002C3D">
        <w:rPr>
          <w:rFonts w:cs="Liberation Serif"/>
        </w:rPr>
        <w:t>6 месяцев.</w:t>
      </w:r>
    </w:p>
    <w:p w:rsidR="00002C3D" w:rsidRPr="00134DC0" w:rsidRDefault="00002C3D" w:rsidP="00002C3D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23102D">
        <w:rPr>
          <w:noProof/>
          <w:lang w:eastAsia="ru-RU" w:bidi="ar-SA"/>
        </w:rPr>
        <w:drawing>
          <wp:inline distT="0" distB="0" distL="0" distR="0" wp14:anchorId="1F6E58C7" wp14:editId="67509AB0">
            <wp:extent cx="4371653" cy="6074675"/>
            <wp:effectExtent l="5715" t="0" r="0" b="0"/>
            <wp:docPr id="2" name="Рисунок 2" descr="C:\Users\User\Desktop\24.11.2016  Комплект 3\КИ_для Тетерятниковой Н.Н\КИ Тетерятникова 20.03.18\ФОТО\IMG_20180516_101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4.11.2016  Комплект 3\КИ_для Тетерятниковой Н.Н\КИ Тетерятникова 20.03.18\ФОТО\IMG_20180516_1010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47" t="2935" r="3271" b="1726"/>
                    <a:stretch/>
                  </pic:blipFill>
                  <pic:spPr bwMode="auto">
                    <a:xfrm rot="16200000">
                      <a:off x="0" y="0"/>
                      <a:ext cx="4377307" cy="6082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2C3D" w:rsidRDefault="00002C3D" w:rsidP="00002C3D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02C3D" w:rsidSect="00002C3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C3D"/>
    <w:rsid w:val="00002C3D"/>
    <w:rsid w:val="00293E0D"/>
    <w:rsid w:val="00531181"/>
    <w:rsid w:val="005A7537"/>
    <w:rsid w:val="00666682"/>
    <w:rsid w:val="007C2257"/>
    <w:rsid w:val="007D3CFA"/>
    <w:rsid w:val="008374C2"/>
    <w:rsid w:val="008545A8"/>
    <w:rsid w:val="008D1251"/>
    <w:rsid w:val="00A72CED"/>
    <w:rsid w:val="00A963C9"/>
    <w:rsid w:val="00D911E7"/>
    <w:rsid w:val="00DB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88CED-C540-4909-8C76-F8111434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3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2C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9E2D0-8C35-4EC4-9791-179CDB68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2019-02-08T06:22:00Z</dcterms:created>
  <dcterms:modified xsi:type="dcterms:W3CDTF">2019-02-08T07:56:00Z</dcterms:modified>
</cp:coreProperties>
</file>